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Планируя летний отдых ребенка в загородном лагере, Вы стараетесь, чтобы он был максимально полезными,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F932B6" w:rsidRPr="00E1286B" w:rsidRDefault="00F932B6" w:rsidP="00F932B6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F932B6" w:rsidRPr="00E1286B" w:rsidRDefault="00F932B6" w:rsidP="00F932B6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F932B6" w:rsidRPr="00E1286B" w:rsidRDefault="00F932B6" w:rsidP="00F932B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r:id="rId5" w:tooltip="https://mintrud.tularegion.ru/otdykh-detey-i-ikh-ozdorovlenie/reestry1/2023-god/" w:history="1">
        <w:r w:rsidRPr="00E1286B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).</w:t>
      </w:r>
    </w:p>
    <w:p w:rsidR="00F932B6" w:rsidRPr="00E1286B" w:rsidRDefault="00F932B6" w:rsidP="00F932B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F932B6" w:rsidRDefault="00F932B6" w:rsidP="00F932B6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F932B6" w:rsidRPr="00E1286B" w:rsidRDefault="00F932B6" w:rsidP="00F932B6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F932B6" w:rsidRPr="00E1286B" w:rsidRDefault="00F932B6" w:rsidP="00F932B6">
      <w:pPr>
        <w:pStyle w:val="a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F932B6" w:rsidRPr="00E1286B" w:rsidRDefault="00F932B6" w:rsidP="00F932B6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 w:rsidR="00F932B6" w:rsidRPr="00E1286B" w:rsidRDefault="00F932B6" w:rsidP="00F932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F932B6" w:rsidRDefault="00F932B6" w:rsidP="00F932B6">
      <w:pPr>
        <w:jc w:val="center"/>
        <w:rPr>
          <w:rFonts w:ascii="PT Astra Serif" w:hAnsi="PT Astra Serif"/>
          <w:b/>
          <w:sz w:val="28"/>
          <w:szCs w:val="28"/>
        </w:rPr>
      </w:pPr>
    </w:p>
    <w:p w:rsidR="00945179" w:rsidRDefault="00945179">
      <w:bookmarkStart w:id="0" w:name="_GoBack"/>
      <w:bookmarkEnd w:id="0"/>
    </w:p>
    <w:sectPr w:rsidR="00945179" w:rsidSect="00591685">
      <w:headerReference w:type="default" r:id="rId6"/>
      <w:footerReference w:type="default" r:id="rId7"/>
      <w:pgSz w:w="11906" w:h="16838"/>
      <w:pgMar w:top="1134" w:right="567" w:bottom="1134" w:left="113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85" w:rsidRPr="00591685" w:rsidRDefault="00F932B6" w:rsidP="00591685">
    <w:pPr>
      <w:pStyle w:val="a6"/>
    </w:pPr>
    <w:r>
      <w:rPr>
        <w:noProof/>
        <w:lang w:eastAsia="ru-RU"/>
      </w:rPr>
      <w:drawing>
        <wp:inline distT="0" distB="0" distL="0" distR="0" wp14:anchorId="486DCD2C" wp14:editId="3764F4A4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TIME \@ "dd.MM.yyyy H:mm:ss" </w:instrText>
    </w:r>
    <w:r>
      <w:fldChar w:fldCharType="separate"/>
    </w:r>
    <w:r>
      <w:rPr>
        <w:noProof/>
      </w:rPr>
      <w:t>22.02.2023 11:43:00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F932B6" w:rsidP="00591685">
    <w:pPr>
      <w:pStyle w:val="a4"/>
    </w:pPr>
  </w:p>
  <w:p w:rsidR="00591685" w:rsidRPr="00591685" w:rsidRDefault="00F932B6" w:rsidP="00591685">
    <w:pPr>
      <w:pStyle w:val="a4"/>
    </w:pPr>
    <w:r>
      <w:t>Электронный документ зарегистрирован № 17-01-41/2251 от 22.02.2023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6"/>
    <w:rsid w:val="00945179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EFE0-6761-463F-9D05-EB71729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B6"/>
    <w:rPr>
      <w:color w:val="0000FF"/>
      <w:u w:val="single"/>
    </w:rPr>
  </w:style>
  <w:style w:type="paragraph" w:styleId="a4">
    <w:name w:val="header"/>
    <w:basedOn w:val="a"/>
    <w:link w:val="a5"/>
    <w:rsid w:val="00F932B6"/>
  </w:style>
  <w:style w:type="character" w:customStyle="1" w:styleId="a5">
    <w:name w:val="Верхний колонтитул Знак"/>
    <w:basedOn w:val="a0"/>
    <w:link w:val="a4"/>
    <w:rsid w:val="00F932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F932B6"/>
  </w:style>
  <w:style w:type="character" w:customStyle="1" w:styleId="a7">
    <w:name w:val="Нижний колонтитул Знак"/>
    <w:basedOn w:val="a0"/>
    <w:link w:val="a6"/>
    <w:rsid w:val="00F932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9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intrud.tularegion.ru/otdykh-detey-i-ikh-ozdorovlenie/reestry1/2023-g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2023-02-22T08:42:00Z</dcterms:created>
  <dcterms:modified xsi:type="dcterms:W3CDTF">2023-02-22T08:43:00Z</dcterms:modified>
</cp:coreProperties>
</file>